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42290" cy="5727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229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4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Regionalny Dyrektor</w:t>
        <w:br/>
        <w:t>Ochrony Środowiska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60" w:line="240" w:lineRule="auto"/>
        <w:ind w:left="840" w:right="0" w:firstLine="0"/>
        <w:jc w:val="left"/>
      </w:pPr>
      <w:bookmarkStart w:id="1" w:name="bookmark1"/>
      <w:r>
        <w:rPr>
          <w:b w:val="0"/>
          <w:bCs w:val="0"/>
          <w:smallCap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Szczecinie</w:t>
      </w:r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Szczecin, dnia 25 kwietnia 2025 r.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WONS.420.5.2025.AJ.4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OBWIESZCZENIE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5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art. 61 § 4 oraz art. 49 ustawy z dnia 14 czerwca 1960 r. Kodeks postępowania administracyjnego (Dz. U. z 2024 r. poz. 572) - dalej zwanej Kpa, w związku z art. 74 ust. 3 ustawy z dnia 3 października 2008 r. o udostępnianiu informacji o środowisku i jego ochronie, udziale społeczeństwa w ochronie środowiska oraz o ocenach oddziaływania na środowisko (Dz. U. z 2024 r. poz. 1112 ze zm.) - dalej zwanej ustawą ooś,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/>
        <w:ind w:left="28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zawiadamia się wszystkie strony w sprawie,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że na wniosek pełnomocnika inwestora, którym są Polskie Sieci Elektroenergetyczne S.A. z dnia 31 marca 2025 r., uzupełniony w dniach 3, 15 i 23 kwietnia 2025 r., o wydanie decyzji o środowiskowych uwarunkowaniach dla przedsięwzięcia pn.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„Przebudowa linii 220 kV relacji Krajnik - Glinki oraz Budowa linii 220 kV relacji Pomorzany -nacięcie linii Krajnik - Glinki”,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Regionalny Dyrektor Ochrony Środowiska w Szczecinie wszczął postępowanie w przedmiotowej sprawie.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Przedsięwzięcie kwalifikuje się do uzyskania decyzji o środowiskowych uwarunkowaniach, jako przedsięwzięcie mogące zawsze znacząco oddziaływać na środowisko, zgodnie z § 2 ust. 1 pkt 6 rozporządzenia Rady Ministrów z dnia 10 września 2019 r. w sprawie przedsięwzięć mogących znacząco oddziaływać na środowisko (Dz. U. z 2019 r., poz. 1839 ze. zm.) tj. napowietrzne linie elektroenergetyczne o napięciu znamionowym nie mniejszym niż 220 kV i długości nie mniejszej niż 15 km. Dodatkowo, planowane w ramach przedsięwzięcia prace kwalifikują się także do przedsięwzięć mogących potencjalnie znacząco oddziaływać na środowisko zgodnie z § 3 ust. 2 pkt 1 oraz § 3 ust. 1 pkt 88.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Organem właściwym do wydania wnioskowanej decyzji, w myśl art. 75 ust. 1 pkt 1 a) ustawy ooś, jest Regionalny Dyrektor Ochrony Środowiska w Szczecinie. Organami współuczestniczącymi w postępowaniu są: Państwowy Wojewódzki Inspektor Sanitarny w Szczecinie, Dyrektor Regionalnego Zarządu Gospodarki Wodnej Państwowego Gospodarstwa Wodnego Wody Polskie w Szczecinie.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związku z powyższym informuję o możliwości zapoznania się z aktami sprawy oraz o możliwości wypowiadania się w przedmiotowej sprawie osobiście lub na piśmie, kierując korespondencję na adres: Regionalna Dyrekcja Ochrony Środowiska w Szczecinie, ul. J. Słowackiego 2, 71-434 Szczecin, a także za pomocą innych środków komunikacji elektronicznej przez elektroniczną skrzynkę podawczą organu. Z aktami sprawy można zapoznać się po uprzednim ustaleniu sposobu udostępnienia dokumentacji z pracownikiem tutejszej Dyrekcji (nr telefonu do kontaktu: 91 43-05-209). Sprawę prowadzi Agnieszka Janik.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5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Zgodnie z art. 49 ustawy Kpa, doręczenie uważa się za dokonane po upływie 14 dni od publicznego ogłoszenia. Dzień publicznego ogłoszenia to 30 kwietnia 2025 r.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900" w:right="1920" w:hanging="2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789" w:left="1504" w:right="1555" w:bottom="922" w:header="1361" w:footer="494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ul. Juliusza Słowackiego 2,71-434 Szczecin tel.: 91 43-05-200, fax: 91 43-05-201, e-mail: </w:t>
      </w:r>
      <w:r>
        <w:fldChar w:fldCharType="begin"/>
      </w:r>
      <w:r>
        <w:rPr/>
        <w:instrText> HYPERLINK "mailto:sekretariat@szczecin.rdos.gov.pl"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sekretariat@szczecin.rdos.gov.pl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fldChar w:fldCharType="begin"/>
      </w:r>
      <w:r>
        <w:rPr/>
        <w:instrText> HYPERLINK "https://www.gov.pl/web/rdos-szczecin"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https://www.gov.pl/web/rdos-szczecin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66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Ponadto Regionalny Dyrektor Ochrony Środowiska w Szczecinie informuje, iż o kolejnych etapach postępowania, zgodnie z art. 49 § 1 Kpa, strony powiadamiane będą poprzez udostępnienie pism na tablicy ogłoszeń w siedzibie RDOŚ w Szczecinie, w Biuletynie Informacji Publicznej Regionalnej Dyrekcji Ochrony Środowiska w Szczecinie, a także, zgodnie z art. 74 ust. 3aa ustawy ooś - w sposób zwyczajowo przyjęty w danej miejscowości oraz na stronach BIP urzędu miasta/gminy właściwych ze względu na obszar, o którym mowa w art. 74 ust. 3a ww. ustawy.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Regionalny Dyrektor Ochrony Środowiska</w:t>
        <w:br/>
        <w:t>w Szczecinie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Sylwia Jurzyk-Nordlów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/podpisano kwalifikowanym podpisem elektronicznym/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Sposób obwieszczenia lub publicznego ogłoszenia: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leader="dot" w:pos="5251" w:val="left"/>
          <w:tab w:leader="dot" w:pos="6648" w:val="left"/>
        </w:tabs>
        <w:bidi w:val="0"/>
        <w:spacing w:before="0" w:after="220" w:line="240" w:lineRule="auto"/>
        <w:ind w:left="0" w:right="0" w:firstLine="0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Data obwieszczenia lub publicznego ogłoszenia: od</w:t>
        <w:tab/>
        <w:t>do</w:t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Pieczęć urzędu: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980" w:line="240" w:lineRule="auto"/>
        <w:ind w:left="0" w:right="0" w:firstLine="0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Podpis i pieczęć osoby upoważnionej do wywieszenia i zdjęcia obwieszczenia: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61 § 4 Kpa „O wszczęciu postępowania z urzędu lub na żądanie jednej ze stron należy zawiadomić wszystkie osoby będące stronami w sprawie”.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publicznej”.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2 Kpa „Dzień, w którym nastąpiło publiczne obwieszczenie, inne publiczne ogłoszenie lub udostępnienie pisma w Biuletynie Informacji Publicznej wskazuje się w treści tego obwieszczenia, ogłoszenia łub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73 § 1 Strona ma prawo wglądu w akta sprawy, sporządzania z nich notatek, kopii lub odpisów. Prawo to przysługuje również po zakończeniu postępowania.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820" w:left="1596" w:right="1414" w:bottom="1820" w:header="139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6509385</wp:posOffset>
              </wp:positionH>
              <wp:positionV relativeFrom="page">
                <wp:posOffset>9869805</wp:posOffset>
              </wp:positionV>
              <wp:extent cx="54610" cy="9144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pl-PL" w:eastAsia="pl-PL" w:bidi="pl-P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2.54999999999995pt;margin-top:777.14999999999998pt;width:4.2999999999999998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pl-PL" w:eastAsia="pl-PL" w:bidi="pl-P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8"/>
      <w:szCs w:val="38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Tekst treści (3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Nagłówek lub stopka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Tekst treści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FFFFFF"/>
      <w:spacing w:after="130"/>
      <w:ind w:left="4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8"/>
      <w:szCs w:val="38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spacing w:line="293" w:lineRule="auto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Tekst treści (3)"/>
    <w:basedOn w:val="Normal"/>
    <w:link w:val="CharStyle9"/>
    <w:pPr>
      <w:widowControl w:val="0"/>
      <w:shd w:val="clear" w:color="auto" w:fill="FFFFFF"/>
      <w:spacing w:after="110"/>
      <w:ind w:left="950" w:right="8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Nagłówek lub stopka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Tekst treści (2)"/>
    <w:basedOn w:val="Normal"/>
    <w:link w:val="CharStyle15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SKM_C251i25043007110</dc:title>
  <dc:subject/>
  <dc:creator/>
  <cp:keywords/>
</cp:coreProperties>
</file>